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0A56195D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993EC0">
        <w:rPr>
          <w:rFonts w:ascii="Times New Roman" w:hAnsi="Times New Roman" w:cs="Times New Roman"/>
          <w:b/>
          <w:sz w:val="24"/>
          <w:szCs w:val="24"/>
        </w:rPr>
        <w:t>11608-4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93EC0" w:rsidRPr="00993EC0">
        <w:rPr>
          <w:rFonts w:ascii="Times New Roman" w:hAnsi="Times New Roman" w:cs="Times New Roman"/>
          <w:b/>
          <w:sz w:val="24"/>
          <w:szCs w:val="24"/>
        </w:rPr>
        <w:t>Игольчатые инъекционные системы для медицинского применения. Требования и методы испытаний. Часть 4. Игольчатые инъекционные системы, содержащие электронику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FEF6FAF" w14:textId="65761F17" w:rsidR="00993EC0" w:rsidRPr="00993EC0" w:rsidRDefault="00993EC0" w:rsidP="00993EC0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93EC0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3EC0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3EC0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3EC0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0FAAA627" w14:textId="5F922D2A" w:rsidR="00993EC0" w:rsidRPr="00993EC0" w:rsidRDefault="00993EC0" w:rsidP="00993EC0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93EC0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3EC0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6B6E03B4" w14:textId="77777777" w:rsidR="00993EC0" w:rsidRPr="00993EC0" w:rsidRDefault="00993EC0" w:rsidP="00993EC0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93EC0">
        <w:rPr>
          <w:rFonts w:ascii="Times New Roman" w:hAnsi="Times New Roman" w:cs="Times New Roman"/>
          <w:sz w:val="24"/>
          <w:szCs w:val="24"/>
          <w:lang w:eastAsia="zh-CN"/>
        </w:rPr>
        <w:t>Системы для инъекций с помощью иглы, включая системы наружного применения (OBDSs), содержащие электронику с программным обеспечением или без него, в первую очередь предназначены для введения лекарственных препаратов людям. Требования к характеристикам по эксплуатации, касающиеся основных электротехнических аспектов, были выбраны с намерением не ограничивать конструкцию электронной системы для инъекций с помощью иглы (NIS-E) без необходимости при применении данного документа.</w:t>
      </w:r>
    </w:p>
    <w:p w14:paraId="7690EF9F" w14:textId="77777777" w:rsidR="00993EC0" w:rsidRPr="00993EC0" w:rsidRDefault="00993EC0" w:rsidP="00993EC0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93EC0">
        <w:rPr>
          <w:rFonts w:ascii="Times New Roman" w:hAnsi="Times New Roman" w:cs="Times New Roman"/>
          <w:sz w:val="24"/>
          <w:szCs w:val="24"/>
          <w:lang w:eastAsia="zh-CN"/>
        </w:rPr>
        <w:t>Первое издание ISO 11608-4 было ограничено шприц-ручками с электромеханическим приводом. В стандарте ISO 11608-1 описаны только шприц-ручки оснащенные электроникой.</w:t>
      </w:r>
    </w:p>
    <w:p w14:paraId="3145A1DF" w14:textId="77777777" w:rsidR="00993EC0" w:rsidRPr="00993EC0" w:rsidRDefault="00993EC0" w:rsidP="00993EC0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93EC0">
        <w:rPr>
          <w:rFonts w:ascii="Times New Roman" w:hAnsi="Times New Roman" w:cs="Times New Roman"/>
          <w:sz w:val="24"/>
          <w:szCs w:val="24"/>
          <w:lang w:eastAsia="zh-CN"/>
        </w:rPr>
        <w:t>Используемые материалы в данном документе не указаны, поскольку их выбор будет зависеть от дизайна, предполагаемого использования и процесса изготовления, зависящий от отдельного производителя.</w:t>
      </w:r>
    </w:p>
    <w:p w14:paraId="575FAC45" w14:textId="77777777" w:rsidR="00993EC0" w:rsidRPr="00993EC0" w:rsidRDefault="00993EC0" w:rsidP="00993EC0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93EC0">
        <w:rPr>
          <w:rFonts w:ascii="Times New Roman" w:hAnsi="Times New Roman" w:cs="Times New Roman"/>
          <w:sz w:val="24"/>
          <w:szCs w:val="24"/>
          <w:lang w:eastAsia="zh-CN"/>
        </w:rPr>
        <w:t>Существуют другие международные и национальные стандарты и публикации, а в некоторых странах – национальные нормативные акты применяемые к медицинским изделиям и фармацевтическим препаратам. Настоящий стандарт применим к NIS-E и определяет соответствующие аспекты стандартов                                                                                 IEC 60601-1:2005+AMD1:2012+AMD2:2020, IEC 60601-1-2:2014+AMD1:2020 и                              IEC 60601-1-11:2015+AMD1:2020 для конкретного типа устройств.</w:t>
      </w:r>
    </w:p>
    <w:p w14:paraId="0C60BF1E" w14:textId="77777777" w:rsidR="00993EC0" w:rsidRPr="00993EC0" w:rsidRDefault="00993EC0" w:rsidP="00993EC0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93EC0">
        <w:rPr>
          <w:rFonts w:ascii="Times New Roman" w:hAnsi="Times New Roman" w:cs="Times New Roman"/>
          <w:sz w:val="24"/>
          <w:szCs w:val="24"/>
          <w:lang w:eastAsia="zh-CN"/>
        </w:rPr>
        <w:t>В настоящем стандарте не указаны не электротехнические требования и методы испытаний для NISs, которые перечислены в стандарте ISO 11608-1.</w:t>
      </w:r>
    </w:p>
    <w:p w14:paraId="76909286" w14:textId="77777777" w:rsidR="00993EC0" w:rsidRPr="00993EC0" w:rsidRDefault="00993EC0" w:rsidP="00993EC0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93EC0">
        <w:rPr>
          <w:rFonts w:ascii="Times New Roman" w:hAnsi="Times New Roman" w:cs="Times New Roman"/>
          <w:sz w:val="24"/>
          <w:szCs w:val="24"/>
          <w:lang w:eastAsia="zh-CN"/>
        </w:rPr>
        <w:t>Разработчикам и производителям NIS-Es рекомендуется изучить и определить есть ли любые другие требования, имеющие отношение к безопасности или товарности их продуктов. Например, настоящий стандарт следует использовать при взаимодействии с IEC 60601-1, IEC 60601-1-2 и IEC 60601-1-11. Ожидается, что при проектировании, разработке и производстве продукта будет применяться подход, основанный на оценке рисков. Учитывая предполагаемое применение конкретного лекарственного средства и также окружающую среду, возможно предъявление к конкретному продукту требований и методов испытаний , которые отличаются от описанных в данном документе.</w:t>
      </w:r>
    </w:p>
    <w:p w14:paraId="23521A77" w14:textId="77777777" w:rsidR="00993EC0" w:rsidRPr="00993EC0" w:rsidRDefault="00993EC0" w:rsidP="00993EC0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93EC0">
        <w:rPr>
          <w:rFonts w:ascii="Times New Roman" w:hAnsi="Times New Roman" w:cs="Times New Roman"/>
          <w:sz w:val="24"/>
          <w:szCs w:val="24"/>
          <w:lang w:eastAsia="zh-CN"/>
        </w:rPr>
        <w:t>Настоящий стандарт предназначен для использования при типовом тестировании (проверке результата разработки) NIS-E. Он не предназначен для использования при тестировании пакетного выпуска.</w:t>
      </w:r>
    </w:p>
    <w:p w14:paraId="1FCDFD68" w14:textId="77777777" w:rsidR="00993EC0" w:rsidRPr="00993EC0" w:rsidRDefault="00993EC0" w:rsidP="00993EC0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93EC0">
        <w:rPr>
          <w:rFonts w:ascii="Times New Roman" w:hAnsi="Times New Roman" w:cs="Times New Roman"/>
          <w:sz w:val="24"/>
          <w:szCs w:val="24"/>
          <w:lang w:eastAsia="zh-CN"/>
        </w:rPr>
        <w:t xml:space="preserve">В настоящем стандарте вводится понятие типа X NIS-E и типа Y NIS-E. Тип X NIS-E – это тип устройства без какого-либо кабельного подключения к другим устройствам. Тип Y NIS-E имеет такие соединения. Электрические требования, приведенные в этом документе для типа X NISE, являются подмножеством требований для типа Y NIS-E. </w:t>
      </w:r>
    </w:p>
    <w:p w14:paraId="22B8A1C5" w14:textId="3DBD01C4" w:rsidR="00FA2282" w:rsidRPr="00D42394" w:rsidRDefault="00FA2282" w:rsidP="005B7B96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855B306" w14:textId="483C0B45" w:rsidR="00993EC0" w:rsidRPr="00993EC0" w:rsidRDefault="00993EC0" w:rsidP="00993EC0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EC0">
        <w:rPr>
          <w:rFonts w:ascii="Times New Roman" w:hAnsi="Times New Roman" w:cs="Times New Roman"/>
          <w:sz w:val="24"/>
          <w:szCs w:val="24"/>
        </w:rPr>
        <w:t>Объектом стандартизации явля</w:t>
      </w:r>
      <w:r w:rsidRPr="00993EC0">
        <w:rPr>
          <w:rFonts w:ascii="Times New Roman" w:hAnsi="Times New Roman" w:cs="Times New Roman"/>
          <w:sz w:val="24"/>
          <w:szCs w:val="24"/>
        </w:rPr>
        <w:t>ю</w:t>
      </w:r>
      <w:r w:rsidRPr="00993EC0">
        <w:rPr>
          <w:rFonts w:ascii="Times New Roman" w:hAnsi="Times New Roman" w:cs="Times New Roman"/>
          <w:sz w:val="24"/>
          <w:szCs w:val="24"/>
        </w:rPr>
        <w:t xml:space="preserve">тся </w:t>
      </w:r>
      <w:r w:rsidRPr="00993EC0">
        <w:rPr>
          <w:rFonts w:ascii="Times New Roman" w:hAnsi="Times New Roman" w:cs="Times New Roman"/>
          <w:sz w:val="24"/>
          <w:szCs w:val="24"/>
        </w:rPr>
        <w:t xml:space="preserve">игольчатые </w:t>
      </w:r>
      <w:r w:rsidRPr="00993EC0">
        <w:rPr>
          <w:rFonts w:ascii="Times New Roman" w:hAnsi="Times New Roman" w:cs="Times New Roman"/>
          <w:sz w:val="24"/>
          <w:szCs w:val="24"/>
        </w:rPr>
        <w:t>инъекционные системы, содержащие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3EC0">
        <w:rPr>
          <w:rFonts w:ascii="Times New Roman" w:hAnsi="Times New Roman" w:cs="Times New Roman"/>
          <w:sz w:val="24"/>
          <w:szCs w:val="24"/>
        </w:rPr>
        <w:t>электронику.</w:t>
      </w:r>
    </w:p>
    <w:p w14:paraId="5AC194E4" w14:textId="77777777" w:rsidR="00993EC0" w:rsidRPr="00993EC0" w:rsidRDefault="00993EC0" w:rsidP="00993EC0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EC0">
        <w:rPr>
          <w:rFonts w:ascii="Times New Roman" w:hAnsi="Times New Roman" w:cs="Times New Roman"/>
          <w:sz w:val="24"/>
          <w:szCs w:val="24"/>
        </w:rPr>
        <w:t>Характеристики объекта</w:t>
      </w:r>
    </w:p>
    <w:p w14:paraId="07286B37" w14:textId="36E04E43" w:rsidR="00652532" w:rsidRDefault="00993EC0" w:rsidP="00993EC0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EC0">
        <w:rPr>
          <w:rFonts w:ascii="Times New Roman" w:hAnsi="Times New Roman" w:cs="Times New Roman"/>
          <w:sz w:val="24"/>
          <w:szCs w:val="24"/>
        </w:rPr>
        <w:t>Система инъекций на основе иглы, содержащая электронику, может быть одноразовой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3EC0">
        <w:rPr>
          <w:rFonts w:ascii="Times New Roman" w:hAnsi="Times New Roman" w:cs="Times New Roman"/>
          <w:sz w:val="24"/>
          <w:szCs w:val="24"/>
        </w:rPr>
        <w:t>или многоразовой и может работать с электрическими/проводящими соединениями с другими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3EC0">
        <w:rPr>
          <w:rFonts w:ascii="Times New Roman" w:hAnsi="Times New Roman" w:cs="Times New Roman"/>
          <w:sz w:val="24"/>
          <w:szCs w:val="24"/>
        </w:rPr>
        <w:t>устройствами или без них. Система предназначена для доставки лекарств пациенту путем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3EC0">
        <w:rPr>
          <w:rFonts w:ascii="Times New Roman" w:hAnsi="Times New Roman" w:cs="Times New Roman"/>
          <w:sz w:val="24"/>
          <w:szCs w:val="24"/>
        </w:rPr>
        <w:t>самостоятельного введения или путем введения другим оператором (например, лицом,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3EC0">
        <w:rPr>
          <w:rFonts w:ascii="Times New Roman" w:hAnsi="Times New Roman" w:cs="Times New Roman"/>
          <w:sz w:val="24"/>
          <w:szCs w:val="24"/>
        </w:rPr>
        <w:t>осуществляющим уход, или поставщиком медицинских услуг).</w:t>
      </w:r>
    </w:p>
    <w:p w14:paraId="56274438" w14:textId="77777777" w:rsidR="00993EC0" w:rsidRPr="004F2DD9" w:rsidRDefault="00993EC0" w:rsidP="00993EC0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69DDCB12" w14:textId="2A8CF694" w:rsidR="00993EC0" w:rsidRPr="00993EC0" w:rsidRDefault="00993EC0" w:rsidP="00993EC0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bookmarkStart w:id="0" w:name="_Toc145083885"/>
      <w:r w:rsidRPr="00993EC0">
        <w:rPr>
          <w:rStyle w:val="FontStyle33"/>
          <w:rFonts w:ascii="Times New Roman" w:hAnsi="Times New Roman"/>
          <w:bCs/>
          <w:sz w:val="24"/>
          <w:szCs w:val="24"/>
        </w:rPr>
        <w:t>ГОСТ CISPR 11–2017 Электромагнитная совместимость. Оборудование промышленное, научное и медицинское. Характеристики радиочастотных помех. Нормы и методы испытаний</w:t>
      </w:r>
      <w:bookmarkEnd w:id="0"/>
    </w:p>
    <w:p w14:paraId="7CDC5737" w14:textId="4EE2AF3E" w:rsidR="00993EC0" w:rsidRPr="00993EC0" w:rsidRDefault="00993EC0" w:rsidP="00993EC0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bookmarkStart w:id="1" w:name="_Toc145083886"/>
      <w:r w:rsidRPr="00993EC0">
        <w:rPr>
          <w:rStyle w:val="FontStyle33"/>
          <w:rFonts w:ascii="Times New Roman" w:hAnsi="Times New Roman"/>
          <w:bCs/>
          <w:sz w:val="24"/>
          <w:szCs w:val="24"/>
        </w:rPr>
        <w:t>ГОСТ IEC 60950-1–2014 Оборудование информационных технологий. Требования безопасности. Часть 1. Общие требования</w:t>
      </w:r>
      <w:bookmarkEnd w:id="1"/>
    </w:p>
    <w:p w14:paraId="6969AF7E" w14:textId="5234372B" w:rsidR="00993EC0" w:rsidRPr="00993EC0" w:rsidRDefault="00993EC0" w:rsidP="00993EC0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bookmarkStart w:id="2" w:name="_Toc145083887"/>
      <w:r w:rsidRPr="00993EC0">
        <w:rPr>
          <w:rStyle w:val="FontStyle33"/>
          <w:rFonts w:ascii="Times New Roman" w:hAnsi="Times New Roman"/>
          <w:bCs/>
          <w:sz w:val="24"/>
          <w:szCs w:val="24"/>
        </w:rPr>
        <w:t>ГОСТ ISО 14971–2021 Изделия медицинские. Применение менеджмента риска к медицинским изделиям</w:t>
      </w:r>
      <w:bookmarkEnd w:id="2"/>
    </w:p>
    <w:p w14:paraId="38354569" w14:textId="79DB0C87" w:rsidR="00993EC0" w:rsidRPr="00993EC0" w:rsidRDefault="00993EC0" w:rsidP="00993EC0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bookmarkStart w:id="3" w:name="_Toc145083888"/>
      <w:r w:rsidRPr="00993EC0">
        <w:rPr>
          <w:rStyle w:val="FontStyle33"/>
          <w:rFonts w:ascii="Times New Roman" w:hAnsi="Times New Roman"/>
          <w:bCs/>
          <w:sz w:val="24"/>
          <w:szCs w:val="24"/>
        </w:rPr>
        <w:t xml:space="preserve">ГОСТ IEC 62304–2022 </w:t>
      </w:r>
      <w:r w:rsidRPr="00993EC0">
        <w:rPr>
          <w:rStyle w:val="FontStyle33"/>
          <w:rFonts w:ascii="Times New Roman" w:hAnsi="Times New Roman"/>
          <w:sz w:val="24"/>
          <w:szCs w:val="24"/>
        </w:rPr>
        <w:t>Изделия медицинские. Программное обеспечение. Процессы жизненного цикла</w:t>
      </w:r>
      <w:bookmarkEnd w:id="3"/>
    </w:p>
    <w:p w14:paraId="2466D310" w14:textId="77777777" w:rsidR="00993EC0" w:rsidRPr="00993EC0" w:rsidRDefault="00993EC0" w:rsidP="00993EC0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993EC0">
        <w:rPr>
          <w:rStyle w:val="FontStyle33"/>
          <w:rFonts w:ascii="Times New Roman" w:hAnsi="Times New Roman"/>
          <w:bCs/>
          <w:sz w:val="24"/>
          <w:szCs w:val="24"/>
        </w:rPr>
        <w:t>ГОСТ IEC 61000-3-3–2015 Электромагнитная совместимость (ЭМС). Часть 3-3. Нормы. Ограничение изменений напряжения, колебаний напряжения и фликера в общественных низковольтных системах электроснабжения для оборудования с номинальным током не более 16 А (в одной фазе), подключаемого к сети электропитания без особых условий</w:t>
      </w:r>
    </w:p>
    <w:p w14:paraId="35F29936" w14:textId="77777777" w:rsidR="00993EC0" w:rsidRPr="00993EC0" w:rsidRDefault="00993EC0" w:rsidP="00993EC0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993EC0">
        <w:rPr>
          <w:rStyle w:val="FontStyle33"/>
          <w:rFonts w:ascii="Times New Roman" w:hAnsi="Times New Roman"/>
          <w:bCs/>
          <w:sz w:val="24"/>
          <w:szCs w:val="24"/>
        </w:rPr>
        <w:t>ГОСТ IEC 61000-4-4– 2016 Электромагнитная совместимость (ЭМС). Часть 4-4. Методы испытаний и измерений. Испытание на устойчивость к электрическим быстрым переходным процессам (пачкам)</w:t>
      </w:r>
    </w:p>
    <w:p w14:paraId="4ADCFED5" w14:textId="77777777" w:rsidR="00993EC0" w:rsidRPr="00993EC0" w:rsidRDefault="00993EC0" w:rsidP="00993EC0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993EC0">
        <w:rPr>
          <w:rStyle w:val="FontStyle33"/>
          <w:rFonts w:ascii="Times New Roman" w:hAnsi="Times New Roman"/>
          <w:bCs/>
          <w:sz w:val="24"/>
          <w:szCs w:val="24"/>
        </w:rPr>
        <w:t>ГОСТ IEC 61000-4-5–2017</w:t>
      </w:r>
    </w:p>
    <w:p w14:paraId="637C87F5" w14:textId="2C95C038" w:rsidR="00993EC0" w:rsidRPr="00993EC0" w:rsidRDefault="00993EC0" w:rsidP="00993EC0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993EC0">
        <w:rPr>
          <w:rStyle w:val="FontStyle33"/>
          <w:rFonts w:ascii="Times New Roman" w:hAnsi="Times New Roman"/>
          <w:bCs/>
          <w:sz w:val="24"/>
          <w:szCs w:val="24"/>
        </w:rPr>
        <w:t>Электромагнитная совместимость (ЭМС). Часть 4-5. Методы испытаний и измерений. Испытание на устойчивость к выбросу напряжения</w:t>
      </w:r>
    </w:p>
    <w:p w14:paraId="6808919E" w14:textId="77777777" w:rsidR="00993EC0" w:rsidRPr="00993EC0" w:rsidRDefault="00993EC0" w:rsidP="00993EC0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993EC0">
        <w:rPr>
          <w:rStyle w:val="FontStyle33"/>
          <w:rFonts w:ascii="Times New Roman" w:hAnsi="Times New Roman"/>
          <w:bCs/>
          <w:sz w:val="24"/>
          <w:szCs w:val="24"/>
        </w:rPr>
        <w:t>ГОСТ IEC 61000-4-39–2019 Электромагнитная совместимость (ЭМС). Часть 4-39. Методы испытаний и измерений. Излучаемые поля в непосредственной близости. Испытание на помехоустойчивость</w:t>
      </w:r>
    </w:p>
    <w:p w14:paraId="7D52BC46" w14:textId="77777777" w:rsidR="00993EC0" w:rsidRPr="00993EC0" w:rsidRDefault="00993EC0" w:rsidP="00993EC0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993EC0">
        <w:rPr>
          <w:rStyle w:val="FontStyle33"/>
          <w:rFonts w:ascii="Times New Roman" w:hAnsi="Times New Roman"/>
          <w:bCs/>
          <w:sz w:val="24"/>
          <w:szCs w:val="24"/>
        </w:rPr>
        <w:t>СТ РК IEC 60085–2017 Электрическая изоляция. Классификация и обозначение по термическим свойствам</w:t>
      </w:r>
    </w:p>
    <w:p w14:paraId="67488465" w14:textId="206A01A8" w:rsidR="00993EC0" w:rsidRPr="00993EC0" w:rsidRDefault="00993EC0" w:rsidP="004E39E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993EC0">
        <w:rPr>
          <w:rStyle w:val="FontStyle33"/>
          <w:rFonts w:ascii="Times New Roman" w:hAnsi="Times New Roman"/>
          <w:bCs/>
          <w:sz w:val="24"/>
          <w:szCs w:val="24"/>
        </w:rPr>
        <w:t>ГОСТ CISPR 32–2015 Электромагнитная совместимость оборудования мультимедиа. Требования к электромагнитной эмиссии</w:t>
      </w:r>
    </w:p>
    <w:p w14:paraId="0D710A67" w14:textId="77777777" w:rsidR="00993EC0" w:rsidRPr="00993EC0" w:rsidRDefault="00993EC0" w:rsidP="00993EC0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993EC0">
        <w:rPr>
          <w:rStyle w:val="FontStyle33"/>
          <w:rFonts w:ascii="Times New Roman" w:hAnsi="Times New Roman"/>
          <w:bCs/>
          <w:sz w:val="24"/>
          <w:szCs w:val="24"/>
        </w:rPr>
        <w:lastRenderedPageBreak/>
        <w:t>ГОСТ 30630.1.9–2002  Методы испытаний на стойкость к механическим внешним воздействующим факторам машин, приборов и других технических изделий. Испытания на воздействие случайной широкополосной вибрации с использованием цифровой системы управления испытаниями</w:t>
      </w:r>
      <w:r w:rsidRPr="00993EC0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</w:p>
    <w:p w14:paraId="06EE1B01" w14:textId="5753F9EF" w:rsidR="00993EC0" w:rsidRPr="00993EC0" w:rsidRDefault="00993EC0" w:rsidP="00993EC0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993EC0">
        <w:rPr>
          <w:rStyle w:val="FontStyle33"/>
          <w:rFonts w:ascii="Times New Roman" w:hAnsi="Times New Roman"/>
          <w:bCs/>
          <w:sz w:val="24"/>
          <w:szCs w:val="24"/>
        </w:rPr>
        <w:t>СТ РК IEC 60529–2012 «Степени защиты, обеспечиваемые корпусами»</w:t>
      </w:r>
    </w:p>
    <w:p w14:paraId="4BA82EF3" w14:textId="609E2B45" w:rsidR="00993EC0" w:rsidRPr="00993EC0" w:rsidRDefault="00993EC0" w:rsidP="00AB1F37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993EC0">
        <w:rPr>
          <w:rStyle w:val="FontStyle33"/>
          <w:rFonts w:ascii="Times New Roman" w:hAnsi="Times New Roman"/>
          <w:bCs/>
          <w:sz w:val="24"/>
          <w:szCs w:val="24"/>
        </w:rPr>
        <w:t>ГОСТ IEC 61000-4-3–2016</w:t>
      </w:r>
      <w:r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r w:rsidRPr="00993EC0">
        <w:rPr>
          <w:rStyle w:val="FontStyle33"/>
          <w:rFonts w:ascii="Times New Roman" w:hAnsi="Times New Roman"/>
          <w:bCs/>
          <w:sz w:val="24"/>
          <w:szCs w:val="24"/>
        </w:rPr>
        <w:t>Электромагнитная совместимость (ЭМС). Часть 4-3. Методы испытаний и измерений. Испытание на устойчивость к излучаемому радиочастотному электромагнитному полю</w:t>
      </w:r>
    </w:p>
    <w:p w14:paraId="7AF7ABAA" w14:textId="77777777" w:rsidR="00993EC0" w:rsidRPr="00993EC0" w:rsidRDefault="00993EC0" w:rsidP="00993EC0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993EC0">
        <w:rPr>
          <w:rStyle w:val="FontStyle33"/>
          <w:rFonts w:ascii="Times New Roman" w:hAnsi="Times New Roman"/>
          <w:bCs/>
          <w:sz w:val="24"/>
          <w:szCs w:val="24"/>
        </w:rPr>
        <w:t>ГОСТ IEC 61000-4-6–2022 Электромагнитная совместимость. Часть 4-6. Методы испытаний и измерений. Устойчивость к кондуктивным помехам, наведенным радиочастотными полями</w:t>
      </w:r>
    </w:p>
    <w:p w14:paraId="5F9F3D18" w14:textId="77777777" w:rsidR="00993EC0" w:rsidRPr="00993EC0" w:rsidRDefault="00993EC0" w:rsidP="00993EC0">
      <w:pPr>
        <w:rPr>
          <w:sz w:val="22"/>
          <w:szCs w:val="22"/>
          <w:lang w:val="fr-FR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«BioEtica», ТОО «ЭкоФарм Интернейшнл», ТОО «Marai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663DC4" w14:textId="192ECBBC" w:rsidR="00C619A4" w:rsidRPr="00C619A4" w:rsidRDefault="00137217" w:rsidP="00C619A4">
      <w:pPr>
        <w:widowControl/>
        <w:tabs>
          <w:tab w:val="num" w:pos="0"/>
          <w:tab w:val="num" w:pos="56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OLE_LINK6"/>
      <w:bookmarkStart w:id="5" w:name="OLE_LINK7"/>
      <w:bookmarkStart w:id="6" w:name="_Hlk48056258"/>
      <w:r w:rsidR="00993EC0" w:rsidRPr="00993EC0">
        <w:rPr>
          <w:rFonts w:ascii="Times New Roman" w:hAnsi="Times New Roman" w:cs="Times New Roman"/>
          <w:sz w:val="24"/>
          <w:szCs w:val="24"/>
        </w:rPr>
        <w:t>ISO 11608-4:2022 Needle-based injection systems for medical use – Part 4: Needle-based injection systems containing electronics  (</w:t>
      </w:r>
      <w:bookmarkEnd w:id="4"/>
      <w:bookmarkEnd w:id="5"/>
      <w:r w:rsidR="00993EC0" w:rsidRPr="00993EC0">
        <w:rPr>
          <w:rFonts w:ascii="Times New Roman" w:hAnsi="Times New Roman" w:cs="Times New Roman"/>
          <w:sz w:val="24"/>
          <w:szCs w:val="24"/>
        </w:rPr>
        <w:t>Игольчатые инъекционные системы для медицинского применения. Требования и методы испытаний. Часть 4. Игольчатые инъекционные системы, содержащие электронику)</w:t>
      </w:r>
      <w:bookmarkEnd w:id="6"/>
      <w:r w:rsidR="00993EC0" w:rsidRPr="00993EC0">
        <w:rPr>
          <w:rFonts w:ascii="Times New Roman" w:hAnsi="Times New Roman" w:cs="Times New Roman"/>
          <w:sz w:val="24"/>
          <w:szCs w:val="24"/>
        </w:rPr>
        <w:t>.</w:t>
      </w:r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«NavyCo»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>пр. Кабанбай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4E6919">
        <w:rPr>
          <w:rFonts w:ascii="Times New Roman" w:hAnsi="Times New Roman" w:cs="Times New Roman"/>
          <w:b/>
          <w:sz w:val="24"/>
          <w:szCs w:val="24"/>
        </w:rPr>
        <w:t>Нуртазин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993EC0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993EC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3029B8"/>
    <w:rsid w:val="00310A48"/>
    <w:rsid w:val="00312DCA"/>
    <w:rsid w:val="003616D8"/>
    <w:rsid w:val="003F00A3"/>
    <w:rsid w:val="003F7768"/>
    <w:rsid w:val="0040619E"/>
    <w:rsid w:val="004F2DD9"/>
    <w:rsid w:val="005B7B96"/>
    <w:rsid w:val="005C744F"/>
    <w:rsid w:val="00652532"/>
    <w:rsid w:val="00682E02"/>
    <w:rsid w:val="006B6FAE"/>
    <w:rsid w:val="0072234F"/>
    <w:rsid w:val="007B6BFF"/>
    <w:rsid w:val="007C3373"/>
    <w:rsid w:val="007E615E"/>
    <w:rsid w:val="008777B9"/>
    <w:rsid w:val="009110C3"/>
    <w:rsid w:val="00993EC0"/>
    <w:rsid w:val="00A02B98"/>
    <w:rsid w:val="00A21007"/>
    <w:rsid w:val="00A900E0"/>
    <w:rsid w:val="00AF3B8D"/>
    <w:rsid w:val="00B24F26"/>
    <w:rsid w:val="00B426C3"/>
    <w:rsid w:val="00B726C7"/>
    <w:rsid w:val="00C619A4"/>
    <w:rsid w:val="00D42394"/>
    <w:rsid w:val="00D44AC5"/>
    <w:rsid w:val="00E610BD"/>
    <w:rsid w:val="00EA1C5F"/>
    <w:rsid w:val="00EB5AC5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10</cp:revision>
  <dcterms:created xsi:type="dcterms:W3CDTF">2022-08-31T09:51:00Z</dcterms:created>
  <dcterms:modified xsi:type="dcterms:W3CDTF">2023-09-12T15:38:00Z</dcterms:modified>
</cp:coreProperties>
</file>